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42A" w:rsidRDefault="002E042A" w:rsidP="002E042A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Sępólno Krajeńskie, </w:t>
      </w:r>
      <w:r w:rsidRPr="00E1703E">
        <w:rPr>
          <w:sz w:val="22"/>
          <w:szCs w:val="22"/>
        </w:rPr>
        <w:t xml:space="preserve">dnia </w:t>
      </w:r>
      <w:r w:rsidR="008A650D">
        <w:rPr>
          <w:sz w:val="22"/>
          <w:szCs w:val="22"/>
        </w:rPr>
        <w:t>10</w:t>
      </w:r>
      <w:r w:rsidR="00434E9E">
        <w:rPr>
          <w:sz w:val="22"/>
          <w:szCs w:val="22"/>
        </w:rPr>
        <w:t>.</w:t>
      </w:r>
      <w:r w:rsidR="0019034B">
        <w:rPr>
          <w:sz w:val="22"/>
          <w:szCs w:val="22"/>
        </w:rPr>
        <w:t>03</w:t>
      </w:r>
      <w:r w:rsidRPr="00E1703E">
        <w:rPr>
          <w:sz w:val="22"/>
          <w:szCs w:val="22"/>
        </w:rPr>
        <w:t>.202</w:t>
      </w:r>
      <w:r w:rsidR="0019034B">
        <w:rPr>
          <w:sz w:val="22"/>
          <w:szCs w:val="22"/>
        </w:rPr>
        <w:t>3</w:t>
      </w:r>
      <w:r w:rsidRPr="00E1703E">
        <w:rPr>
          <w:sz w:val="22"/>
          <w:szCs w:val="22"/>
        </w:rPr>
        <w:t xml:space="preserve"> r.</w:t>
      </w:r>
    </w:p>
    <w:p w:rsidR="002E042A" w:rsidRPr="00C773F9" w:rsidRDefault="002E042A" w:rsidP="002E042A">
      <w:pPr>
        <w:pStyle w:val="Default"/>
        <w:spacing w:line="276" w:lineRule="auto"/>
        <w:rPr>
          <w:sz w:val="22"/>
          <w:szCs w:val="22"/>
        </w:rPr>
      </w:pPr>
      <w:r w:rsidRPr="00C773F9">
        <w:rPr>
          <w:b/>
          <w:bCs/>
          <w:sz w:val="22"/>
          <w:szCs w:val="22"/>
        </w:rPr>
        <w:t>GMINA SĘPÓLNO KRAJEŃSKIE</w:t>
      </w:r>
    </w:p>
    <w:p w:rsidR="002E042A" w:rsidRPr="00C773F9" w:rsidRDefault="002E042A" w:rsidP="002E042A">
      <w:pPr>
        <w:pStyle w:val="Default"/>
        <w:spacing w:after="120" w:line="276" w:lineRule="auto"/>
        <w:ind w:firstLine="284"/>
        <w:rPr>
          <w:sz w:val="22"/>
          <w:szCs w:val="22"/>
        </w:rPr>
      </w:pPr>
      <w:r w:rsidRPr="00C773F9">
        <w:rPr>
          <w:b/>
          <w:bCs/>
          <w:sz w:val="22"/>
          <w:szCs w:val="22"/>
        </w:rPr>
        <w:t xml:space="preserve">woj. kujawsko-pomorskie </w:t>
      </w:r>
    </w:p>
    <w:p w:rsidR="002E042A" w:rsidRPr="00C773F9" w:rsidRDefault="002E042A" w:rsidP="002E042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referencyjny sprawy: IRG</w:t>
      </w:r>
      <w:r w:rsidRPr="00C773F9">
        <w:rPr>
          <w:sz w:val="22"/>
          <w:szCs w:val="22"/>
        </w:rPr>
        <w:t>.271.</w:t>
      </w:r>
      <w:r w:rsidR="0019034B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19034B">
        <w:rPr>
          <w:sz w:val="22"/>
          <w:szCs w:val="22"/>
        </w:rPr>
        <w:t>3</w:t>
      </w:r>
      <w:r w:rsidRPr="00C773F9">
        <w:rPr>
          <w:sz w:val="22"/>
          <w:szCs w:val="22"/>
        </w:rPr>
        <w:t xml:space="preserve"> </w:t>
      </w:r>
    </w:p>
    <w:p w:rsidR="002E042A" w:rsidRDefault="002E042A" w:rsidP="002E042A">
      <w:pPr>
        <w:pStyle w:val="Default"/>
        <w:spacing w:line="276" w:lineRule="auto"/>
        <w:jc w:val="right"/>
        <w:rPr>
          <w:sz w:val="22"/>
          <w:szCs w:val="22"/>
        </w:rPr>
      </w:pPr>
    </w:p>
    <w:p w:rsidR="002E042A" w:rsidRDefault="002E042A" w:rsidP="002E042A">
      <w:pPr>
        <w:pStyle w:val="Default"/>
        <w:spacing w:line="276" w:lineRule="auto"/>
        <w:jc w:val="right"/>
        <w:rPr>
          <w:sz w:val="22"/>
          <w:szCs w:val="22"/>
        </w:rPr>
      </w:pPr>
    </w:p>
    <w:p w:rsidR="002E042A" w:rsidRPr="00906FC1" w:rsidRDefault="002E042A" w:rsidP="002E042A">
      <w:pPr>
        <w:pStyle w:val="Default"/>
        <w:spacing w:line="276" w:lineRule="auto"/>
        <w:jc w:val="right"/>
        <w:rPr>
          <w:sz w:val="22"/>
          <w:szCs w:val="22"/>
        </w:rPr>
      </w:pPr>
    </w:p>
    <w:p w:rsidR="002E042A" w:rsidRPr="003F35E6" w:rsidRDefault="002E042A" w:rsidP="002E042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F35E6">
        <w:rPr>
          <w:b/>
          <w:sz w:val="22"/>
          <w:szCs w:val="22"/>
        </w:rPr>
        <w:t xml:space="preserve">Uzasadnienie faktyczne i prawne </w:t>
      </w:r>
    </w:p>
    <w:p w:rsidR="002E042A" w:rsidRPr="003F35E6" w:rsidRDefault="002E042A" w:rsidP="002E042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F35E6">
        <w:rPr>
          <w:b/>
          <w:sz w:val="22"/>
          <w:szCs w:val="22"/>
        </w:rPr>
        <w:t>wyboru trybu zamówienia z wolnej ręki</w:t>
      </w:r>
    </w:p>
    <w:p w:rsidR="002E042A" w:rsidRDefault="002E042A" w:rsidP="00A83CAD">
      <w:pPr>
        <w:pStyle w:val="Akapitzlist"/>
        <w:spacing w:after="0"/>
        <w:ind w:left="993" w:hanging="993"/>
        <w:jc w:val="both"/>
        <w:rPr>
          <w:rFonts w:ascii="Arial" w:hAnsi="Arial" w:cs="Arial"/>
          <w:b/>
        </w:rPr>
      </w:pPr>
    </w:p>
    <w:p w:rsidR="002E042A" w:rsidRDefault="002E042A" w:rsidP="00A83CAD">
      <w:pPr>
        <w:pStyle w:val="Akapitzlist"/>
        <w:spacing w:after="0"/>
        <w:ind w:left="993" w:hanging="993"/>
        <w:jc w:val="both"/>
        <w:rPr>
          <w:rFonts w:ascii="Arial" w:hAnsi="Arial" w:cs="Arial"/>
          <w:b/>
        </w:rPr>
      </w:pPr>
    </w:p>
    <w:p w:rsidR="002E042A" w:rsidRDefault="002E042A" w:rsidP="00A83CAD">
      <w:pPr>
        <w:pStyle w:val="Akapitzlist"/>
        <w:spacing w:after="0"/>
        <w:ind w:left="993" w:hanging="993"/>
        <w:jc w:val="both"/>
        <w:rPr>
          <w:rFonts w:ascii="Arial" w:hAnsi="Arial" w:cs="Arial"/>
          <w:b/>
        </w:rPr>
      </w:pPr>
    </w:p>
    <w:p w:rsidR="008A650D" w:rsidRPr="005B20F8" w:rsidRDefault="008A650D" w:rsidP="008A650D">
      <w:pPr>
        <w:pStyle w:val="Akapitzlist"/>
        <w:spacing w:after="0" w:line="360" w:lineRule="auto"/>
        <w:ind w:left="993" w:hanging="993"/>
        <w:jc w:val="both"/>
        <w:rPr>
          <w:rFonts w:ascii="Arial" w:hAnsi="Arial" w:cs="Arial"/>
          <w:b/>
        </w:rPr>
      </w:pPr>
      <w:r w:rsidRPr="005B20F8">
        <w:rPr>
          <w:rFonts w:ascii="Arial" w:hAnsi="Arial" w:cs="Arial"/>
          <w:b/>
        </w:rPr>
        <w:t>Podstawa prawna zastosowania trybu z wolnej ręki:</w:t>
      </w:r>
    </w:p>
    <w:p w:rsidR="008A650D" w:rsidRPr="005B20F8" w:rsidRDefault="008A650D" w:rsidP="008A650D">
      <w:pPr>
        <w:pStyle w:val="Akapitzlist"/>
        <w:spacing w:after="0" w:line="360" w:lineRule="auto"/>
        <w:ind w:left="993" w:hanging="993"/>
        <w:jc w:val="both"/>
        <w:rPr>
          <w:rFonts w:ascii="Arial" w:hAnsi="Arial" w:cs="Arial"/>
        </w:rPr>
      </w:pPr>
      <w:r w:rsidRPr="005B20F8">
        <w:rPr>
          <w:rFonts w:ascii="Arial" w:hAnsi="Arial" w:cs="Arial"/>
        </w:rPr>
        <w:t>art. 305 pkt 1 ustawy w zw. z art. 214 ust. 1 pkt 11 ustawy z dnia 11 września 2019 r. – Prawo</w:t>
      </w:r>
    </w:p>
    <w:p w:rsidR="008A650D" w:rsidRPr="005B20F8" w:rsidRDefault="008A650D" w:rsidP="008A650D">
      <w:pPr>
        <w:pStyle w:val="Akapitzlist"/>
        <w:spacing w:after="0" w:line="360" w:lineRule="auto"/>
        <w:ind w:left="993" w:hanging="993"/>
        <w:jc w:val="both"/>
        <w:rPr>
          <w:rFonts w:ascii="Arial" w:hAnsi="Arial" w:cs="Arial"/>
        </w:rPr>
      </w:pPr>
      <w:r w:rsidRPr="005B20F8">
        <w:rPr>
          <w:rFonts w:ascii="Arial" w:hAnsi="Arial" w:cs="Arial"/>
        </w:rPr>
        <w:t>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r., poz. 1710 ze zm.</w:t>
      </w:r>
      <w:r w:rsidRPr="005B20F8">
        <w:rPr>
          <w:rFonts w:ascii="Arial" w:hAnsi="Arial" w:cs="Arial"/>
        </w:rPr>
        <w:t>).</w:t>
      </w:r>
    </w:p>
    <w:p w:rsidR="008A650D" w:rsidRPr="005B20F8" w:rsidRDefault="008A650D" w:rsidP="008A650D">
      <w:pPr>
        <w:pStyle w:val="Akapitzlist"/>
        <w:spacing w:after="0" w:line="360" w:lineRule="auto"/>
        <w:ind w:left="993" w:hanging="993"/>
        <w:jc w:val="both"/>
        <w:rPr>
          <w:rFonts w:ascii="Arial" w:hAnsi="Arial" w:cs="Arial"/>
          <w:b/>
        </w:rPr>
      </w:pPr>
    </w:p>
    <w:p w:rsidR="008A650D" w:rsidRPr="005B20F8" w:rsidRDefault="008A650D" w:rsidP="008A650D">
      <w:pPr>
        <w:pStyle w:val="Akapitzlist"/>
        <w:spacing w:after="0" w:line="360" w:lineRule="auto"/>
        <w:ind w:left="993" w:hanging="993"/>
        <w:jc w:val="both"/>
        <w:rPr>
          <w:rFonts w:ascii="Arial" w:hAnsi="Arial" w:cs="Arial"/>
          <w:b/>
        </w:rPr>
      </w:pPr>
      <w:r w:rsidRPr="005B20F8">
        <w:rPr>
          <w:rFonts w:ascii="Arial" w:hAnsi="Arial" w:cs="Arial"/>
          <w:b/>
        </w:rPr>
        <w:t>Podstawa faktyczna zastosowania trybu z wolnej ręki:</w:t>
      </w:r>
    </w:p>
    <w:p w:rsidR="008A650D" w:rsidRPr="005B20F8" w:rsidRDefault="008A650D" w:rsidP="008A650D">
      <w:pPr>
        <w:spacing w:after="0" w:line="360" w:lineRule="auto"/>
        <w:jc w:val="both"/>
        <w:rPr>
          <w:rFonts w:ascii="Arial" w:hAnsi="Arial" w:cs="Arial"/>
        </w:rPr>
      </w:pPr>
      <w:r w:rsidRPr="005B20F8">
        <w:rPr>
          <w:rFonts w:ascii="Arial" w:hAnsi="Arial" w:cs="Arial"/>
        </w:rPr>
        <w:t xml:space="preserve">Zgodnie z art. 305 pkt 1: </w:t>
      </w:r>
      <w:r w:rsidRPr="005B20F8">
        <w:rPr>
          <w:rFonts w:ascii="Arial" w:hAnsi="Arial" w:cs="Arial"/>
          <w:i/>
        </w:rPr>
        <w:t>„Zamawiający może udzielić zamówienia w trybie zamówienia z wolnej ręki, jeżeli:</w:t>
      </w:r>
      <w:r w:rsidRPr="005B20F8">
        <w:rPr>
          <w:rFonts w:ascii="Arial" w:hAnsi="Arial" w:cs="Arial"/>
        </w:rPr>
        <w:t xml:space="preserve"> </w:t>
      </w:r>
      <w:r w:rsidRPr="005B20F8">
        <w:rPr>
          <w:rFonts w:ascii="Arial" w:eastAsia="Times New Roman" w:hAnsi="Arial" w:cs="Arial"/>
          <w:i/>
          <w:lang w:eastAsia="pl-PL"/>
        </w:rPr>
        <w:t>1) zachodzi jedna z okoliczności, o których mowa w art. 214 ust. 1 pkt 1-5 i 7-14 (…)”</w:t>
      </w:r>
      <w:r w:rsidRPr="005B20F8">
        <w:rPr>
          <w:rFonts w:ascii="Arial" w:eastAsia="Times New Roman" w:hAnsi="Arial" w:cs="Arial"/>
          <w:lang w:eastAsia="pl-PL"/>
        </w:rPr>
        <w:t xml:space="preserve">, w niniejszym postępowaniu o udzielenie zamówienia publicznego zachodzi okoliczność określona w art.  214 ust. 1 pkt 11: </w:t>
      </w:r>
      <w:r w:rsidRPr="005B20F8">
        <w:rPr>
          <w:rFonts w:ascii="Arial" w:eastAsia="Times New Roman" w:hAnsi="Arial" w:cs="Arial"/>
          <w:i/>
          <w:lang w:eastAsia="pl-PL"/>
        </w:rPr>
        <w:t>„1. Zamawiający może udzielić zamówienia z wolnej ręki, jeżeli zachodzi co najmniej jedna z następujących okoliczności: (…)</w:t>
      </w:r>
      <w:r w:rsidRPr="005B20F8">
        <w:rPr>
          <w:rFonts w:ascii="Arial" w:hAnsi="Arial" w:cs="Arial"/>
          <w:i/>
        </w:rPr>
        <w:t xml:space="preserve"> </w:t>
      </w:r>
      <w:r w:rsidRPr="005B20F8">
        <w:rPr>
          <w:rFonts w:ascii="Arial" w:eastAsia="Times New Roman" w:hAnsi="Arial" w:cs="Arial"/>
          <w:i/>
          <w:lang w:eastAsia="pl-PL"/>
        </w:rPr>
        <w:t xml:space="preserve">11) zamówienie udzielane jest przez zamawiającego, o którym mowa w art. 4 i art. 5 ust. 1 pkt 1, osobie prawnej, jeżeli spełnione są łącznie następujące warunki: </w:t>
      </w:r>
    </w:p>
    <w:p w:rsidR="008A650D" w:rsidRPr="005B20F8" w:rsidRDefault="008A650D" w:rsidP="008A650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5B20F8">
        <w:rPr>
          <w:rFonts w:ascii="Arial" w:eastAsia="Times New Roman" w:hAnsi="Arial" w:cs="Arial"/>
          <w:i/>
          <w:lang w:eastAsia="pl-PL"/>
        </w:rPr>
        <w:t>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:rsidR="008A650D" w:rsidRPr="005B20F8" w:rsidRDefault="008A650D" w:rsidP="008A650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5B20F8">
        <w:rPr>
          <w:rFonts w:ascii="Arial" w:eastAsia="Times New Roman" w:hAnsi="Arial" w:cs="Arial"/>
          <w:i/>
          <w:lang w:eastAsia="pl-PL"/>
        </w:rPr>
        <w:t>b) 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:rsidR="008A650D" w:rsidRPr="005B20F8" w:rsidRDefault="008A650D" w:rsidP="008A650D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5B20F8">
        <w:rPr>
          <w:rFonts w:ascii="Arial" w:eastAsia="Times New Roman" w:hAnsi="Arial" w:cs="Arial"/>
          <w:i/>
          <w:lang w:eastAsia="pl-PL"/>
        </w:rPr>
        <w:t>c) w kontrolowanej osobie prawnej nie ma bezpośredniego udziału kapitału prywatnego; (…)”.</w:t>
      </w:r>
    </w:p>
    <w:p w:rsidR="008A650D" w:rsidRPr="005B20F8" w:rsidRDefault="008A650D" w:rsidP="008A650D">
      <w:pPr>
        <w:spacing w:after="0" w:line="360" w:lineRule="auto"/>
        <w:jc w:val="both"/>
        <w:rPr>
          <w:rFonts w:ascii="Arial" w:hAnsi="Arial" w:cs="Arial"/>
          <w:b/>
        </w:rPr>
      </w:pPr>
      <w:r w:rsidRPr="005B20F8">
        <w:rPr>
          <w:rFonts w:ascii="Arial" w:hAnsi="Arial" w:cs="Arial"/>
          <w:b/>
        </w:rPr>
        <w:t>a) W odniesieniu do warunku określonego w art. 214 ust. 1 pkt 11 lit. a), tj. powiązanie natury organizacyjnej, Zamawiający poniżej przedstawia argumenty na jego spełnienie:</w:t>
      </w:r>
    </w:p>
    <w:p w:rsidR="008A650D" w:rsidRPr="005B20F8" w:rsidRDefault="008A650D" w:rsidP="008A650D">
      <w:p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ab/>
        <w:t xml:space="preserve">Wymóg kontroli przewidziany w przepisach prawa polskiego ma na celu zagwarantowanie, że podmiot powierzający danemu podmiotowi zadanie sprawuje nad nim rzeczywistą kontrolę. Kontrola ta powinna się rozciągać zarówno na cele strategiczne </w:t>
      </w:r>
      <w:r w:rsidRPr="005B20F8">
        <w:rPr>
          <w:rFonts w:ascii="Arial" w:eastAsia="Times New Roman" w:hAnsi="Arial" w:cs="Arial"/>
          <w:lang w:eastAsia="pl-PL"/>
        </w:rPr>
        <w:lastRenderedPageBreak/>
        <w:t>podmiotu, jak i na ważne decyzje. Innymi słowy instytucja zamawiająca musi by</w:t>
      </w:r>
      <w:r>
        <w:rPr>
          <w:rFonts w:ascii="Arial" w:eastAsia="Times New Roman" w:hAnsi="Arial" w:cs="Arial"/>
          <w:lang w:eastAsia="pl-PL"/>
        </w:rPr>
        <w:t>ć</w:t>
      </w:r>
      <w:r w:rsidRPr="005B20F8">
        <w:rPr>
          <w:rFonts w:ascii="Arial" w:eastAsia="Times New Roman" w:hAnsi="Arial" w:cs="Arial"/>
          <w:lang w:eastAsia="pl-PL"/>
        </w:rPr>
        <w:t xml:space="preserve"> w stanie sprawować strukturalną i funkcjonalną kontrolę nad tą jednostką. Niezbędne jest również by kontrola ta była skuteczna</w:t>
      </w:r>
      <w:r w:rsidRPr="005B20F8">
        <w:rPr>
          <w:rFonts w:ascii="Arial" w:hAnsi="Arial" w:cs="Arial"/>
        </w:rPr>
        <w:t xml:space="preserve"> (Wyrok Trybunału Sprawiedliwości z dnia 29 listopada 2012 r. w sprawie C-182/11 i C-183/11 </w:t>
      </w:r>
      <w:proofErr w:type="spellStart"/>
      <w:r w:rsidRPr="005B20F8">
        <w:rPr>
          <w:rFonts w:ascii="Arial" w:hAnsi="Arial" w:cs="Arial"/>
        </w:rPr>
        <w:t>Econord</w:t>
      </w:r>
      <w:proofErr w:type="spellEnd"/>
      <w:r w:rsidRPr="005B20F8">
        <w:rPr>
          <w:rFonts w:ascii="Arial" w:hAnsi="Arial" w:cs="Arial"/>
        </w:rPr>
        <w:t xml:space="preserve"> </w:t>
      </w:r>
      <w:proofErr w:type="spellStart"/>
      <w:r w:rsidRPr="005B20F8">
        <w:rPr>
          <w:rFonts w:ascii="Arial" w:hAnsi="Arial" w:cs="Arial"/>
        </w:rPr>
        <w:t>SpA</w:t>
      </w:r>
      <w:proofErr w:type="spellEnd"/>
      <w:r w:rsidRPr="005B20F8">
        <w:rPr>
          <w:rFonts w:ascii="Arial" w:hAnsi="Arial" w:cs="Arial"/>
        </w:rPr>
        <w:t>, ECLI:EU:C:2012:758, pkt 27</w:t>
      </w:r>
      <w:r w:rsidRPr="005B20F8">
        <w:rPr>
          <w:rFonts w:ascii="Arial" w:eastAsia="Times New Roman" w:hAnsi="Arial" w:cs="Arial"/>
          <w:lang w:eastAsia="pl-PL"/>
        </w:rPr>
        <w:t xml:space="preserve">).  </w:t>
      </w:r>
    </w:p>
    <w:p w:rsidR="008A650D" w:rsidRPr="005B20F8" w:rsidRDefault="008A650D" w:rsidP="008A650D">
      <w:p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 xml:space="preserve"> W oparciu o właściwe orzecznictwo Trybunał Sprawiedliwości Unii Europejskiej:</w:t>
      </w:r>
    </w:p>
    <w:p w:rsidR="008A650D" w:rsidRPr="005B20F8" w:rsidRDefault="008A650D" w:rsidP="008A650D">
      <w:pPr>
        <w:numPr>
          <w:ilvl w:val="0"/>
          <w:numId w:val="1"/>
        </w:num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 xml:space="preserve">Gmina posiada całość kapitału zakładowego spółki, której udzielona zamówienia </w:t>
      </w:r>
      <w:r w:rsidRPr="005B20F8">
        <w:rPr>
          <w:rFonts w:ascii="Arial" w:eastAsia="Times New Roman" w:hAnsi="Arial" w:cs="Arial"/>
          <w:i/>
          <w:lang w:eastAsia="pl-PL"/>
        </w:rPr>
        <w:t>(</w:t>
      </w:r>
      <w:r w:rsidRPr="005B20F8">
        <w:rPr>
          <w:rFonts w:ascii="Arial" w:hAnsi="Arial" w:cs="Arial"/>
          <w:i/>
        </w:rPr>
        <w:t xml:space="preserve">Wyrok Trybunału Sprawiedliwości z 11 maja 2006 r. w sprawie C-340/04 </w:t>
      </w:r>
      <w:proofErr w:type="spellStart"/>
      <w:r w:rsidRPr="005B20F8">
        <w:rPr>
          <w:rFonts w:ascii="Arial" w:hAnsi="Arial" w:cs="Arial"/>
          <w:i/>
        </w:rPr>
        <w:t>Carbotermo</w:t>
      </w:r>
      <w:proofErr w:type="spellEnd"/>
      <w:r w:rsidRPr="005B20F8">
        <w:rPr>
          <w:rFonts w:ascii="Arial" w:hAnsi="Arial" w:cs="Arial"/>
          <w:i/>
        </w:rPr>
        <w:t xml:space="preserve"> </w:t>
      </w:r>
      <w:proofErr w:type="spellStart"/>
      <w:r w:rsidRPr="005B20F8">
        <w:rPr>
          <w:rFonts w:ascii="Arial" w:hAnsi="Arial" w:cs="Arial"/>
          <w:i/>
        </w:rPr>
        <w:t>SpA</w:t>
      </w:r>
      <w:proofErr w:type="spellEnd"/>
      <w:r w:rsidRPr="005B20F8">
        <w:rPr>
          <w:rFonts w:ascii="Arial" w:hAnsi="Arial" w:cs="Arial"/>
          <w:i/>
        </w:rPr>
        <w:t>, ECLI:EU:C:2006:308, pkt 37)</w:t>
      </w:r>
      <w:r w:rsidRPr="005B20F8">
        <w:rPr>
          <w:rFonts w:ascii="Arial" w:eastAsia="Times New Roman" w:hAnsi="Arial" w:cs="Arial"/>
          <w:i/>
          <w:lang w:eastAsia="pl-PL"/>
        </w:rPr>
        <w:t>,</w:t>
      </w:r>
      <w:r w:rsidRPr="005B20F8">
        <w:rPr>
          <w:rFonts w:ascii="Arial" w:eastAsia="Times New Roman" w:hAnsi="Arial" w:cs="Arial"/>
          <w:lang w:eastAsia="pl-PL"/>
        </w:rPr>
        <w:t xml:space="preserve"> </w:t>
      </w:r>
    </w:p>
    <w:p w:rsidR="008A650D" w:rsidRPr="005B20F8" w:rsidRDefault="008A650D" w:rsidP="008A650D">
      <w:pPr>
        <w:numPr>
          <w:ilvl w:val="0"/>
          <w:numId w:val="1"/>
        </w:num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>Zarząd Spółki składa się z osoby wyznaczonej przez Gminę działającą jako Zgromadzenie Wspólników</w:t>
      </w:r>
      <w:r w:rsidRPr="005B20F8">
        <w:rPr>
          <w:rFonts w:ascii="Arial" w:hAnsi="Arial" w:cs="Arial"/>
        </w:rPr>
        <w:t xml:space="preserve"> </w:t>
      </w:r>
      <w:r w:rsidRPr="005B20F8">
        <w:rPr>
          <w:rFonts w:ascii="Arial" w:hAnsi="Arial" w:cs="Arial"/>
          <w:i/>
        </w:rPr>
        <w:t xml:space="preserve">(Wyrok Trybunału Sprawiedliwości z dnia13 listopada 2008 r. w sprawie C-324/07 </w:t>
      </w:r>
      <w:proofErr w:type="spellStart"/>
      <w:r w:rsidRPr="005B20F8">
        <w:rPr>
          <w:rFonts w:ascii="Arial" w:hAnsi="Arial" w:cs="Arial"/>
          <w:i/>
        </w:rPr>
        <w:t>Coditel</w:t>
      </w:r>
      <w:proofErr w:type="spellEnd"/>
      <w:r w:rsidRPr="005B20F8">
        <w:rPr>
          <w:rFonts w:ascii="Arial" w:hAnsi="Arial" w:cs="Arial"/>
          <w:i/>
        </w:rPr>
        <w:t xml:space="preserve"> </w:t>
      </w:r>
      <w:proofErr w:type="spellStart"/>
      <w:r w:rsidRPr="005B20F8">
        <w:rPr>
          <w:rFonts w:ascii="Arial" w:hAnsi="Arial" w:cs="Arial"/>
          <w:i/>
        </w:rPr>
        <w:t>Brabant</w:t>
      </w:r>
      <w:proofErr w:type="spellEnd"/>
      <w:r w:rsidRPr="005B20F8">
        <w:rPr>
          <w:rFonts w:ascii="Arial" w:hAnsi="Arial" w:cs="Arial"/>
          <w:i/>
        </w:rPr>
        <w:t>, ECLI:EU:C:2008:621, pkt 41.)</w:t>
      </w:r>
      <w:r w:rsidRPr="005B20F8">
        <w:rPr>
          <w:rFonts w:ascii="Arial" w:eastAsia="Times New Roman" w:hAnsi="Arial" w:cs="Arial"/>
          <w:i/>
          <w:lang w:eastAsia="pl-PL"/>
        </w:rPr>
        <w:t>,</w:t>
      </w:r>
      <w:r w:rsidRPr="005B20F8">
        <w:rPr>
          <w:rFonts w:ascii="Arial" w:eastAsia="Times New Roman" w:hAnsi="Arial" w:cs="Arial"/>
          <w:lang w:eastAsia="pl-PL"/>
        </w:rPr>
        <w:t xml:space="preserve"> </w:t>
      </w:r>
    </w:p>
    <w:p w:rsidR="008A650D" w:rsidRPr="005B20F8" w:rsidRDefault="008A650D" w:rsidP="008A650D">
      <w:pPr>
        <w:numPr>
          <w:ilvl w:val="0"/>
          <w:numId w:val="1"/>
        </w:num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>Została dokonana zmiana aktu założycielskiego spółki oraz reorganizacja jej działalności w ten sposób, że obszar działania Spółki został ograniczony do obszaru Gminy, natomiast przedmiot działania  został ograniczony co do zasady do zadań spoczywających na Gminie jako zadania własne</w:t>
      </w:r>
      <w:r w:rsidRPr="005B20F8">
        <w:rPr>
          <w:rFonts w:ascii="Arial" w:hAnsi="Arial" w:cs="Arial"/>
        </w:rPr>
        <w:t xml:space="preserve"> </w:t>
      </w:r>
      <w:r w:rsidRPr="005B20F8">
        <w:rPr>
          <w:rFonts w:ascii="Arial" w:hAnsi="Arial" w:cs="Arial"/>
          <w:i/>
        </w:rPr>
        <w:t xml:space="preserve">(Wyrok Trybunału Sprawiedliwości z dnia 10 września 2009 r. w sprawie C-573/07 Sea </w:t>
      </w:r>
      <w:proofErr w:type="spellStart"/>
      <w:r w:rsidRPr="005B20F8">
        <w:rPr>
          <w:rFonts w:ascii="Arial" w:hAnsi="Arial" w:cs="Arial"/>
          <w:i/>
        </w:rPr>
        <w:t>Srl</w:t>
      </w:r>
      <w:proofErr w:type="spellEnd"/>
      <w:r w:rsidRPr="005B20F8">
        <w:rPr>
          <w:rFonts w:ascii="Arial" w:hAnsi="Arial" w:cs="Arial"/>
          <w:i/>
        </w:rPr>
        <w:t>, ECLI:EU:C:2009:532, pkt 73-76)</w:t>
      </w:r>
      <w:r w:rsidRPr="005B20F8">
        <w:rPr>
          <w:rFonts w:ascii="Arial" w:eastAsia="Times New Roman" w:hAnsi="Arial" w:cs="Arial"/>
          <w:i/>
          <w:lang w:eastAsia="pl-PL"/>
        </w:rPr>
        <w:t>,</w:t>
      </w:r>
    </w:p>
    <w:p w:rsidR="008A650D" w:rsidRPr="005B20F8" w:rsidRDefault="008A650D" w:rsidP="008A650D">
      <w:pPr>
        <w:numPr>
          <w:ilvl w:val="0"/>
          <w:numId w:val="1"/>
        </w:num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 xml:space="preserve">Wysokość wynagrodzenia uiszczanego na rzecz Spółki z tytułu realizowanych przez nią zamówień został ograniczony </w:t>
      </w:r>
      <w:r w:rsidRPr="005B20F8">
        <w:rPr>
          <w:rFonts w:ascii="Arial" w:eastAsia="Times New Roman" w:hAnsi="Arial" w:cs="Arial"/>
          <w:i/>
          <w:lang w:eastAsia="pl-PL"/>
        </w:rPr>
        <w:t>(</w:t>
      </w:r>
      <w:r w:rsidRPr="005B20F8">
        <w:rPr>
          <w:rFonts w:ascii="Arial" w:hAnsi="Arial" w:cs="Arial"/>
          <w:i/>
        </w:rPr>
        <w:t xml:space="preserve">Wyrok Trybunału Sprawiedliwości z dnia 19 kwietnia 2009 r. w sprawie C-295/05 </w:t>
      </w:r>
      <w:proofErr w:type="spellStart"/>
      <w:r w:rsidRPr="005B20F8">
        <w:rPr>
          <w:rFonts w:ascii="Arial" w:hAnsi="Arial" w:cs="Arial"/>
          <w:i/>
        </w:rPr>
        <w:t>Asemfo</w:t>
      </w:r>
      <w:proofErr w:type="spellEnd"/>
      <w:r w:rsidRPr="005B20F8">
        <w:rPr>
          <w:rFonts w:ascii="Arial" w:hAnsi="Arial" w:cs="Arial"/>
          <w:i/>
        </w:rPr>
        <w:t>, ECLI:EU:C:2007:227, pkt 50</w:t>
      </w:r>
      <w:r w:rsidRPr="005B20F8">
        <w:rPr>
          <w:rFonts w:ascii="Arial" w:eastAsia="Times New Roman" w:hAnsi="Arial" w:cs="Arial"/>
          <w:i/>
          <w:lang w:eastAsia="pl-PL"/>
        </w:rPr>
        <w:t>)</w:t>
      </w:r>
    </w:p>
    <w:p w:rsidR="008A650D" w:rsidRPr="005B20F8" w:rsidRDefault="008A650D" w:rsidP="008A650D">
      <w:pPr>
        <w:numPr>
          <w:ilvl w:val="0"/>
          <w:numId w:val="1"/>
        </w:num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 xml:space="preserve">Gmina działająca jako Zgromadzenie Wspólników posiada prawo do decydowania o zaciąganiu zobowiązań i rozporządzenia prawem o wartości powyżej 500.000 zł, </w:t>
      </w:r>
    </w:p>
    <w:p w:rsidR="008A650D" w:rsidRPr="005B20F8" w:rsidRDefault="008A650D" w:rsidP="008A650D">
      <w:pPr>
        <w:numPr>
          <w:ilvl w:val="0"/>
          <w:numId w:val="1"/>
        </w:num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>Dodatkowa działalność, wykraczająca poza usługi w interesie publicznym jest ograniczona i ma charakter akcesoryjny</w:t>
      </w:r>
      <w:r w:rsidRPr="005B20F8">
        <w:rPr>
          <w:rFonts w:ascii="Arial" w:hAnsi="Arial" w:cs="Arial"/>
        </w:rPr>
        <w:t xml:space="preserve"> </w:t>
      </w:r>
      <w:r w:rsidRPr="005B20F8">
        <w:rPr>
          <w:rFonts w:ascii="Arial" w:hAnsi="Arial" w:cs="Arial"/>
          <w:i/>
        </w:rPr>
        <w:t xml:space="preserve">(Wyrok Trybunału Sprawiedliwości z dnia 10 września 2009 r. w sprawie C-573/07 Sea </w:t>
      </w:r>
      <w:proofErr w:type="spellStart"/>
      <w:r w:rsidRPr="005B20F8">
        <w:rPr>
          <w:rFonts w:ascii="Arial" w:hAnsi="Arial" w:cs="Arial"/>
          <w:i/>
        </w:rPr>
        <w:t>Srl</w:t>
      </w:r>
      <w:proofErr w:type="spellEnd"/>
      <w:r w:rsidRPr="005B20F8">
        <w:rPr>
          <w:rFonts w:ascii="Arial" w:hAnsi="Arial" w:cs="Arial"/>
          <w:i/>
        </w:rPr>
        <w:t xml:space="preserve">, ECLI:EU:C:2009:532, pkt 79-80). </w:t>
      </w:r>
      <w:r w:rsidRPr="005B20F8">
        <w:rPr>
          <w:rFonts w:ascii="Arial" w:eastAsia="Times New Roman" w:hAnsi="Arial" w:cs="Arial"/>
          <w:i/>
          <w:lang w:eastAsia="pl-PL"/>
        </w:rPr>
        <w:t xml:space="preserve"> </w:t>
      </w:r>
    </w:p>
    <w:p w:rsidR="008A650D" w:rsidRPr="005B20F8" w:rsidRDefault="008A650D" w:rsidP="008A650D">
      <w:pPr>
        <w:tabs>
          <w:tab w:val="left" w:pos="765"/>
        </w:tabs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ab/>
        <w:t>Obowiązujące obecnie postanowienia aktu założycielskiego Spółki jasno</w:t>
      </w:r>
      <w:r w:rsidRPr="005B20F8">
        <w:rPr>
          <w:rFonts w:ascii="Arial" w:eastAsia="Times New Roman" w:hAnsi="Arial" w:cs="Arial"/>
          <w:lang w:eastAsia="pl-PL"/>
        </w:rPr>
        <w:br/>
        <w:t xml:space="preserve">wskazują, że z jednej strony Gmina posiada decydujący wpływ na całokształt jej działalności, a z drugiej strony, że działania Spółki nie są zorientowane na rynek, lecz na zaspokajanie potrzeb Gminy. </w:t>
      </w:r>
    </w:p>
    <w:p w:rsidR="008A650D" w:rsidRPr="005B20F8" w:rsidRDefault="008A650D" w:rsidP="008A650D">
      <w:pPr>
        <w:spacing w:after="0" w:line="360" w:lineRule="auto"/>
        <w:jc w:val="both"/>
        <w:rPr>
          <w:rFonts w:ascii="Arial" w:hAnsi="Arial" w:cs="Arial"/>
          <w:b/>
        </w:rPr>
      </w:pPr>
      <w:r w:rsidRPr="005B20F8">
        <w:rPr>
          <w:rFonts w:ascii="Arial" w:hAnsi="Arial" w:cs="Arial"/>
          <w:b/>
        </w:rPr>
        <w:t>b) W odniesieniu do warunku określonego w art. 214 ust. 1 pkt 11 lit. b), tj. powiązanie natury gospodarczej, Zamawiający poniżej przedstawia argumenty na jego spełnienie:</w:t>
      </w:r>
    </w:p>
    <w:p w:rsidR="008A650D" w:rsidRPr="005B20F8" w:rsidRDefault="008A650D" w:rsidP="008A65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Wymóg by działalność danego podmiotu była skoncentrowana na realizacji zadań na rzecz </w:t>
      </w:r>
      <w:r w:rsidRPr="005B20F8">
        <w:rPr>
          <w:rFonts w:ascii="Arial" w:eastAsia="Times New Roman" w:hAnsi="Arial" w:cs="Arial"/>
          <w:lang w:eastAsia="pl-PL"/>
        </w:rPr>
        <w:t>podmiotu go kontrolującego tworzy więzi zależności ekonomicznej. Jest to o tyle istotne, że jak stwierdzono w doktrynie, cyt.: „</w:t>
      </w:r>
      <w:r w:rsidRPr="005B20F8">
        <w:rPr>
          <w:rFonts w:ascii="Arial" w:eastAsia="Times New Roman" w:hAnsi="Arial" w:cs="Arial"/>
          <w:i/>
          <w:shd w:val="clear" w:color="auto" w:fill="FFFFFF"/>
          <w:lang w:eastAsia="pl-PL"/>
        </w:rPr>
        <w:t xml:space="preserve">przesłanka zależności ekonomicznej jest równie istotna jak możliwość sprawowania kontroli - prowadzenie działalności na rzecz zamawiającego powoduje, iż jednostka uzależnia swoje istnienie od realizacji umów świadczonych na rzecz zamawiającego i nie może poprzez zyski z rynku konkurencyjnego usamodzielnić się, </w:t>
      </w:r>
      <w:r w:rsidRPr="005B20F8">
        <w:rPr>
          <w:rFonts w:ascii="Arial" w:eastAsia="Times New Roman" w:hAnsi="Arial" w:cs="Arial"/>
          <w:i/>
          <w:shd w:val="clear" w:color="auto" w:fill="FFFFFF"/>
          <w:lang w:eastAsia="pl-PL"/>
        </w:rPr>
        <w:lastRenderedPageBreak/>
        <w:t>ograniczając skutki kontroli organizacyjnej. Omawiana przesłanka potwierdza również, że dana jednostka została utworzona lub funkcjonuje faktycznie (niezależnie od nabytej osobowości prawnej) jako oddział lub jednostka organizacyjna zamawiającego, a jej celem nie jest prowadzenie działalności na rynku konkurencyjnym w sposób uprzywilejowany. Zależność ekonomiczna nie wyklucza działalności rynkowej w wąskim zakresie, co w przypadku funkcjonowania przedsiębiorstw nastawionych na realizację zadań gospodarczych może być nie do uniknięcia.”</w:t>
      </w:r>
      <w:r w:rsidRPr="005B20F8">
        <w:rPr>
          <w:rFonts w:ascii="Arial" w:hAnsi="Arial" w:cs="Arial"/>
        </w:rPr>
        <w:t xml:space="preserve"> (Sołtysińska, Aleksandra. Art. 12. W: Komentarz do dyrektywy 2014/24/UE w sprawie zamówień publicznych, uchylającej dyrektywę 2004/18/WE, [w:] Europejskie prawo zamówień publicznych. Komentarz, wyd. III. Wolters Kluwer, 2016.)</w:t>
      </w:r>
    </w:p>
    <w:p w:rsidR="008A650D" w:rsidRPr="005B20F8" w:rsidRDefault="008A650D" w:rsidP="008A65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0F8">
        <w:rPr>
          <w:rFonts w:ascii="Arial" w:eastAsia="Times New Roman" w:hAnsi="Arial" w:cs="Arial"/>
          <w:lang w:eastAsia="pl-PL"/>
        </w:rPr>
        <w:t xml:space="preserve">Z art. </w:t>
      </w:r>
      <w:r w:rsidRPr="005B20F8">
        <w:rPr>
          <w:rFonts w:ascii="Arial" w:hAnsi="Arial" w:cs="Arial"/>
        </w:rPr>
        <w:t xml:space="preserve">214 ust. 1 pkt 11 lit. b) ustawy </w:t>
      </w:r>
      <w:proofErr w:type="spellStart"/>
      <w:r w:rsidRPr="005B20F8">
        <w:rPr>
          <w:rFonts w:ascii="Arial" w:hAnsi="Arial" w:cs="Arial"/>
        </w:rPr>
        <w:t>Pzp</w:t>
      </w:r>
      <w:proofErr w:type="spellEnd"/>
      <w:r w:rsidRPr="005B20F8">
        <w:rPr>
          <w:rFonts w:ascii="Arial" w:hAnsi="Arial" w:cs="Arial"/>
          <w:b/>
        </w:rPr>
        <w:t xml:space="preserve"> </w:t>
      </w:r>
      <w:r w:rsidRPr="005B20F8">
        <w:rPr>
          <w:rFonts w:ascii="Arial" w:eastAsia="Times New Roman" w:hAnsi="Arial" w:cs="Arial"/>
          <w:lang w:eastAsia="pl-PL"/>
        </w:rPr>
        <w:t xml:space="preserve">wynika, że aby spełnić przedmiotową przesłankę:  </w:t>
      </w:r>
    </w:p>
    <w:p w:rsidR="008A650D" w:rsidRPr="005B20F8" w:rsidRDefault="008A650D" w:rsidP="008A650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5B20F8">
        <w:rPr>
          <w:rFonts w:ascii="Arial" w:eastAsia="Times New Roman" w:hAnsi="Arial" w:cs="Arial"/>
          <w:i/>
          <w:lang w:eastAsia="pl-PL"/>
        </w:rPr>
        <w:t>„ponad 90% działalności kontrolowanej osoby prawnej dotyczy wykonywania zadań powierzonych jej przez zamawiającego sprawującego kontrolę lub przez inną osobę prawną, nad którą ten zamawiający sprawuje kontrolę, o której mowa w lit. a”.</w:t>
      </w:r>
    </w:p>
    <w:p w:rsidR="008A650D" w:rsidRPr="005B20F8" w:rsidRDefault="008A650D" w:rsidP="008A650D">
      <w:pPr>
        <w:spacing w:after="0" w:line="360" w:lineRule="auto"/>
        <w:ind w:firstLine="709"/>
        <w:jc w:val="both"/>
        <w:rPr>
          <w:rFonts w:ascii="Arial" w:hAnsi="Arial" w:cs="Arial"/>
          <w:i/>
        </w:rPr>
      </w:pPr>
      <w:r w:rsidRPr="005B20F8">
        <w:rPr>
          <w:rFonts w:ascii="Arial" w:hAnsi="Arial" w:cs="Arial"/>
        </w:rPr>
        <w:t xml:space="preserve">W dalszych przepisach ustawy </w:t>
      </w:r>
      <w:proofErr w:type="spellStart"/>
      <w:r w:rsidRPr="005B20F8">
        <w:rPr>
          <w:rFonts w:ascii="Arial" w:hAnsi="Arial" w:cs="Arial"/>
        </w:rPr>
        <w:t>Pzp</w:t>
      </w:r>
      <w:proofErr w:type="spellEnd"/>
      <w:r w:rsidRPr="005B20F8">
        <w:rPr>
          <w:rFonts w:ascii="Arial" w:hAnsi="Arial" w:cs="Arial"/>
        </w:rPr>
        <w:t xml:space="preserve"> ustawodawca wyjaśnił, że do obliczenia wskazanego powyżej procentu uwzględnia się średni przychód osiągnięty przez osobę prawną lub zamawiającego w odniesieniu do usług, dostaw lub robót budowlanych za 3 lata poprzedzające udzielenie zamówienia – zgodnie z art. 214 pkt 5 ustawy </w:t>
      </w:r>
      <w:proofErr w:type="spellStart"/>
      <w:r w:rsidRPr="005B20F8">
        <w:rPr>
          <w:rFonts w:ascii="Arial" w:hAnsi="Arial" w:cs="Arial"/>
        </w:rPr>
        <w:t>Pzp</w:t>
      </w:r>
      <w:proofErr w:type="spellEnd"/>
      <w:r w:rsidRPr="005B20F8">
        <w:rPr>
          <w:rFonts w:ascii="Arial" w:hAnsi="Arial" w:cs="Arial"/>
        </w:rPr>
        <w:t xml:space="preserve">, tj.: </w:t>
      </w:r>
      <w:r w:rsidRPr="005B20F8">
        <w:rPr>
          <w:rFonts w:ascii="Arial" w:hAnsi="Arial" w:cs="Arial"/>
          <w:i/>
        </w:rPr>
        <w:t>„5. Do obliczania procentu działalności, o którym mowa w ust. 1 pkt 11 lit. b, pkt 12 lit. b, pkt 13 lit. b i pkt 14 lit. c, uwzględnia się średni przychód osiągnięty przez osobę prawną lub zamawiającego w odniesieniu do usług, dostaw lub robót budowlanych za 3 lata poprzedzające udzielenie zamówienia.”</w:t>
      </w:r>
    </w:p>
    <w:p w:rsidR="008A650D" w:rsidRPr="005611A5" w:rsidRDefault="008A650D" w:rsidP="008A650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611A5">
        <w:rPr>
          <w:rFonts w:ascii="Arial" w:hAnsi="Arial" w:cs="Arial"/>
        </w:rPr>
        <w:t xml:space="preserve">Zgodnie ze sprawozdaniem finansowym za rok obrotowy 01.01.2020 – 31.12.2020, osiągnięty przez Spółkę przychód wynosi ~ </w:t>
      </w:r>
      <w:r w:rsidRPr="005611A5">
        <w:rPr>
          <w:rFonts w:ascii="Arial" w:hAnsi="Arial" w:cs="Arial"/>
          <w:b/>
        </w:rPr>
        <w:t>92,62 %</w:t>
      </w:r>
      <w:r w:rsidRPr="005611A5">
        <w:rPr>
          <w:rFonts w:ascii="Arial" w:hAnsi="Arial" w:cs="Arial"/>
        </w:rPr>
        <w:t>.</w:t>
      </w:r>
    </w:p>
    <w:p w:rsidR="008A650D" w:rsidRPr="00D14483" w:rsidRDefault="008A650D" w:rsidP="008A650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611A5">
        <w:rPr>
          <w:rFonts w:ascii="Arial" w:hAnsi="Arial" w:cs="Arial"/>
        </w:rPr>
        <w:t xml:space="preserve">Zgodnie ze sprawozdaniem finansowym za rok obrotowy 01.01.2021 – 31.12.2021, </w:t>
      </w:r>
      <w:r w:rsidRPr="00D14483">
        <w:rPr>
          <w:rFonts w:ascii="Arial" w:hAnsi="Arial" w:cs="Arial"/>
        </w:rPr>
        <w:t xml:space="preserve">osiągnięty przez Spółkę przychód wynosi </w:t>
      </w:r>
      <w:r w:rsidRPr="00D14483">
        <w:rPr>
          <w:rFonts w:ascii="Arial" w:hAnsi="Arial" w:cs="Arial"/>
          <w:b/>
        </w:rPr>
        <w:t>90,13 %</w:t>
      </w:r>
      <w:r w:rsidRPr="00D14483">
        <w:rPr>
          <w:rFonts w:ascii="Arial" w:hAnsi="Arial" w:cs="Arial"/>
        </w:rPr>
        <w:t>.</w:t>
      </w:r>
    </w:p>
    <w:p w:rsidR="008A650D" w:rsidRPr="005B20F8" w:rsidRDefault="008A650D" w:rsidP="008A650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14483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wynikiem finansowym</w:t>
      </w:r>
      <w:r w:rsidRPr="00D14483">
        <w:rPr>
          <w:rFonts w:ascii="Arial" w:hAnsi="Arial" w:cs="Arial"/>
        </w:rPr>
        <w:t xml:space="preserve"> za rok obrotowy 01.01.2022 – 31.12.2022, osiągnięty przez Spółkę przychód wynosi ~ </w:t>
      </w:r>
      <w:r w:rsidRPr="00D14483">
        <w:rPr>
          <w:rFonts w:ascii="Arial" w:hAnsi="Arial" w:cs="Arial"/>
          <w:b/>
        </w:rPr>
        <w:t>88,</w:t>
      </w:r>
      <w:r>
        <w:rPr>
          <w:rFonts w:ascii="Arial" w:hAnsi="Arial" w:cs="Arial"/>
          <w:b/>
        </w:rPr>
        <w:t>28</w:t>
      </w:r>
      <w:r w:rsidRPr="00D14483">
        <w:rPr>
          <w:rFonts w:ascii="Arial" w:hAnsi="Arial" w:cs="Arial"/>
          <w:b/>
        </w:rPr>
        <w:t xml:space="preserve"> %</w:t>
      </w:r>
      <w:r w:rsidRPr="00D14483">
        <w:rPr>
          <w:rFonts w:ascii="Arial" w:hAnsi="Arial" w:cs="Arial"/>
        </w:rPr>
        <w:t>.</w:t>
      </w:r>
    </w:p>
    <w:p w:rsidR="008A650D" w:rsidRPr="005B20F8" w:rsidRDefault="008A650D" w:rsidP="008A650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B20F8">
        <w:rPr>
          <w:rFonts w:ascii="Arial" w:hAnsi="Arial" w:cs="Arial"/>
        </w:rPr>
        <w:t>Zgodnie z powyższymi danym</w:t>
      </w:r>
      <w:r>
        <w:rPr>
          <w:rFonts w:ascii="Arial" w:hAnsi="Arial" w:cs="Arial"/>
        </w:rPr>
        <w:t>i</w:t>
      </w:r>
      <w:r w:rsidRPr="005B20F8">
        <w:rPr>
          <w:rFonts w:ascii="Arial" w:hAnsi="Arial" w:cs="Arial"/>
        </w:rPr>
        <w:t xml:space="preserve">, przesłanka określona w </w:t>
      </w:r>
      <w:r w:rsidRPr="005B20F8">
        <w:rPr>
          <w:rFonts w:ascii="Arial" w:eastAsia="Times New Roman" w:hAnsi="Arial" w:cs="Arial"/>
          <w:lang w:eastAsia="pl-PL"/>
        </w:rPr>
        <w:t xml:space="preserve">art. </w:t>
      </w:r>
      <w:r w:rsidRPr="005B20F8">
        <w:rPr>
          <w:rFonts w:ascii="Arial" w:hAnsi="Arial" w:cs="Arial"/>
        </w:rPr>
        <w:t xml:space="preserve">214 ust. 1 pkt 11 lit. b) ustawy </w:t>
      </w:r>
      <w:proofErr w:type="spellStart"/>
      <w:r w:rsidRPr="005B20F8">
        <w:rPr>
          <w:rFonts w:ascii="Arial" w:hAnsi="Arial" w:cs="Arial"/>
        </w:rPr>
        <w:t>Pzp</w:t>
      </w:r>
      <w:proofErr w:type="spellEnd"/>
      <w:r w:rsidRPr="005B20F8">
        <w:rPr>
          <w:rFonts w:ascii="Arial" w:hAnsi="Arial" w:cs="Arial"/>
          <w:b/>
        </w:rPr>
        <w:t xml:space="preserve"> </w:t>
      </w:r>
      <w:r w:rsidRPr="005B20F8">
        <w:rPr>
          <w:rFonts w:ascii="Arial" w:hAnsi="Arial" w:cs="Arial"/>
        </w:rPr>
        <w:t xml:space="preserve">została spełniona - </w:t>
      </w:r>
      <w:r w:rsidRPr="005B20F8">
        <w:rPr>
          <w:rFonts w:ascii="Arial" w:eastAsia="Times New Roman" w:hAnsi="Arial" w:cs="Arial"/>
          <w:i/>
          <w:lang w:eastAsia="pl-PL"/>
        </w:rPr>
        <w:t>„ponad 90% działalności kontrolowanej osoby prawnej dotyczy wykonywania zadań powierzonych jej przez zamawiającego sprawującego kontrolę lub przez inną osobę prawną, nad którą ten zamawiający sprawuje kontrolę, o której mowa w lit. a”</w:t>
      </w:r>
      <w:r w:rsidRPr="005B20F8">
        <w:rPr>
          <w:rFonts w:ascii="Arial" w:eastAsia="Times New Roman" w:hAnsi="Arial" w:cs="Arial"/>
          <w:lang w:eastAsia="pl-PL"/>
        </w:rPr>
        <w:t xml:space="preserve">, dla Zakładu Transportu i Usług Sp. z o.o., ul. Baczyńskiego 6, 89-400 Sępólno Krajeńskie wartość spełniająca przedmiotową </w:t>
      </w:r>
      <w:r w:rsidRPr="00D14483">
        <w:rPr>
          <w:rFonts w:ascii="Arial" w:eastAsia="Times New Roman" w:hAnsi="Arial" w:cs="Arial"/>
          <w:lang w:eastAsia="pl-PL"/>
        </w:rPr>
        <w:t xml:space="preserve">przesłankę wynosi </w:t>
      </w:r>
      <w:bookmarkStart w:id="0" w:name="_Hlk127526322"/>
      <w:r w:rsidRPr="00D1448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0,34</w:t>
      </w:r>
      <w:r w:rsidRPr="00D14483">
        <w:rPr>
          <w:rFonts w:ascii="Arial" w:hAnsi="Arial" w:cs="Arial"/>
          <w:b/>
        </w:rPr>
        <w:t xml:space="preserve"> %</w:t>
      </w:r>
      <w:r>
        <w:rPr>
          <w:rFonts w:ascii="Arial" w:hAnsi="Arial" w:cs="Arial"/>
        </w:rPr>
        <w:t xml:space="preserve"> (średni przychód za 3 lata poprzedzające udzielenie zamówienia).</w:t>
      </w:r>
      <w:bookmarkEnd w:id="0"/>
    </w:p>
    <w:p w:rsidR="008A650D" w:rsidRPr="005B20F8" w:rsidRDefault="008A650D" w:rsidP="008A650D">
      <w:pPr>
        <w:spacing w:after="0" w:line="360" w:lineRule="auto"/>
        <w:jc w:val="both"/>
        <w:rPr>
          <w:rFonts w:ascii="Arial" w:hAnsi="Arial" w:cs="Arial"/>
          <w:b/>
        </w:rPr>
      </w:pPr>
      <w:r w:rsidRPr="005B20F8">
        <w:rPr>
          <w:rFonts w:ascii="Arial" w:hAnsi="Arial" w:cs="Arial"/>
          <w:b/>
        </w:rPr>
        <w:t>c) W odniesieniu do warunku określonego w art. 214 ust. 1 pkt 11 lit. c), tj.</w:t>
      </w:r>
      <w:r w:rsidRPr="005B20F8">
        <w:rPr>
          <w:rFonts w:ascii="Arial" w:hAnsi="Arial" w:cs="Arial"/>
        </w:rPr>
        <w:t xml:space="preserve"> </w:t>
      </w:r>
      <w:r w:rsidRPr="005B20F8">
        <w:rPr>
          <w:rFonts w:ascii="Arial" w:hAnsi="Arial" w:cs="Arial"/>
          <w:b/>
        </w:rPr>
        <w:t>udział kapitału prywatnego,</w:t>
      </w:r>
      <w:r w:rsidRPr="005B20F8">
        <w:rPr>
          <w:rFonts w:ascii="Arial" w:hAnsi="Arial" w:cs="Arial"/>
        </w:rPr>
        <w:t xml:space="preserve"> </w:t>
      </w:r>
      <w:r w:rsidRPr="005B20F8">
        <w:rPr>
          <w:rFonts w:ascii="Arial" w:hAnsi="Arial" w:cs="Arial"/>
          <w:b/>
        </w:rPr>
        <w:t>Zamawiający poniżej przedstawia argumenty na jego spełnienie:</w:t>
      </w:r>
    </w:p>
    <w:p w:rsidR="008A650D" w:rsidRDefault="008A650D" w:rsidP="008A650D">
      <w:pPr>
        <w:spacing w:after="0" w:line="360" w:lineRule="auto"/>
        <w:jc w:val="both"/>
        <w:rPr>
          <w:rFonts w:ascii="Arial" w:hAnsi="Arial" w:cs="Arial"/>
        </w:rPr>
      </w:pPr>
      <w:r w:rsidRPr="005B20F8">
        <w:rPr>
          <w:rFonts w:ascii="Arial" w:hAnsi="Arial" w:cs="Arial"/>
        </w:rPr>
        <w:lastRenderedPageBreak/>
        <w:t>Zgodnie z informacjami zamieszczonymi w Krajowym Rejestrze Sądowym Gmina Sępólno Krajeńskie posiada 1290 udziałów w Spółce o łącznej wartości 1 290 000,00 zł. W ten sposób cały kapitał Spółki jest w posiadaniu Gminy, a co za tym idzie brak możliwości udziału w nim kapitału prywatnego.</w:t>
      </w:r>
    </w:p>
    <w:p w:rsidR="00A25F4C" w:rsidRDefault="00000000"/>
    <w:sectPr w:rsidR="00A2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B4CD2"/>
    <w:multiLevelType w:val="hybridMultilevel"/>
    <w:tmpl w:val="F3327D6C"/>
    <w:lvl w:ilvl="0" w:tplc="CEB20A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9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91"/>
    <w:rsid w:val="000D1191"/>
    <w:rsid w:val="000E0211"/>
    <w:rsid w:val="0019034B"/>
    <w:rsid w:val="002E042A"/>
    <w:rsid w:val="0036198D"/>
    <w:rsid w:val="00434E9E"/>
    <w:rsid w:val="008A650D"/>
    <w:rsid w:val="00A83CAD"/>
    <w:rsid w:val="00E1703E"/>
    <w:rsid w:val="00E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0289"/>
  <w15:chartTrackingRefBased/>
  <w15:docId w15:val="{31B85A0D-DBD9-4146-84F6-4730C1B2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83CA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E0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8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2</cp:revision>
  <cp:lastPrinted>2022-10-11T12:28:00Z</cp:lastPrinted>
  <dcterms:created xsi:type="dcterms:W3CDTF">2023-03-10T09:20:00Z</dcterms:created>
  <dcterms:modified xsi:type="dcterms:W3CDTF">2023-03-10T09:20:00Z</dcterms:modified>
</cp:coreProperties>
</file>